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b/>
          <w:bCs/>
          <w:color w:val="FF3300"/>
          <w:kern w:val="0"/>
          <w:sz w:val="22"/>
        </w:rPr>
        <w:t>宁波市特种设备安全状况报告（2015年第一季度）</w:t>
      </w:r>
    </w:p>
    <w:p w:rsidR="000B00E7" w:rsidRDefault="000C4329" w:rsidP="000C4329">
      <w:pPr>
        <w:jc w:val="center"/>
        <w:rPr>
          <w:rFonts w:hint="eastAsia"/>
          <w:color w:val="000000"/>
          <w:sz w:val="13"/>
          <w:szCs w:val="13"/>
        </w:rPr>
      </w:pPr>
      <w:r>
        <w:rPr>
          <w:color w:val="000000"/>
          <w:sz w:val="13"/>
          <w:szCs w:val="13"/>
        </w:rPr>
        <w:t>来　源：</w:t>
      </w:r>
      <w:proofErr w:type="gramStart"/>
      <w:r>
        <w:rPr>
          <w:color w:val="000000"/>
          <w:sz w:val="13"/>
          <w:szCs w:val="13"/>
        </w:rPr>
        <w:t>特监处</w:t>
      </w:r>
      <w:proofErr w:type="gramEnd"/>
      <w:r>
        <w:rPr>
          <w:color w:val="000000"/>
          <w:sz w:val="13"/>
          <w:szCs w:val="13"/>
        </w:rPr>
        <w:t>  </w:t>
      </w:r>
      <w:r>
        <w:rPr>
          <w:color w:val="000000"/>
          <w:sz w:val="13"/>
          <w:szCs w:val="13"/>
        </w:rPr>
        <w:t>发布时间：</w:t>
      </w:r>
      <w:r>
        <w:rPr>
          <w:color w:val="000000"/>
          <w:sz w:val="13"/>
          <w:szCs w:val="13"/>
        </w:rPr>
        <w:t>2015-04-21</w:t>
      </w:r>
    </w:p>
    <w:p w:rsidR="000C4329" w:rsidRDefault="000C4329">
      <w:pPr>
        <w:rPr>
          <w:rFonts w:hint="eastAsia"/>
          <w:color w:val="000000"/>
          <w:sz w:val="13"/>
          <w:szCs w:val="13"/>
        </w:rPr>
      </w:pPr>
    </w:p>
    <w:tbl>
      <w:tblPr>
        <w:tblW w:w="4600" w:type="pct"/>
        <w:jc w:val="center"/>
        <w:tblCellSpacing w:w="0" w:type="dxa"/>
        <w:tblCellMar>
          <w:left w:w="0" w:type="dxa"/>
          <w:right w:w="0" w:type="dxa"/>
        </w:tblCellMar>
        <w:tblLook w:val="04A0"/>
      </w:tblPr>
      <w:tblGrid>
        <w:gridCol w:w="8306"/>
      </w:tblGrid>
      <w:tr w:rsidR="000C4329" w:rsidRPr="000C4329">
        <w:trPr>
          <w:trHeight w:val="6000"/>
          <w:tblCellSpacing w:w="0" w:type="dxa"/>
          <w:jc w:val="center"/>
        </w:trPr>
        <w:tc>
          <w:tcPr>
            <w:tcW w:w="0" w:type="auto"/>
            <w:hideMark/>
          </w:tcPr>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一、特种设备数量及分布情况</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截止3月31日，全市特种设备总量为190269台，比2014年底增长1.88%，同比增长6.7%；其中在用设备总量164745台，比2014年底增加1.82%，同比增长5.9%；停用设备总量为25524台，占在册设备总量的13.41%。特种设备总量及比例如图1所示。</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Pr>
                <w:rFonts w:ascii="宋体" w:eastAsia="宋体" w:hAnsi="宋体" w:cs="宋体"/>
                <w:noProof/>
                <w:color w:val="000000"/>
                <w:kern w:val="0"/>
                <w:sz w:val="13"/>
                <w:szCs w:val="13"/>
              </w:rPr>
              <w:drawing>
                <wp:inline distT="0" distB="0" distL="0" distR="0">
                  <wp:extent cx="4756150" cy="2422525"/>
                  <wp:effectExtent l="19050" t="0" r="6350" b="0"/>
                  <wp:docPr id="1" name="图片 1" descr="http://www.nbzj.gov.cn/cms/1120/upimg/allimg/1505/image_21095728_lit.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zj.gov.cn/cms/1120/upimg/allimg/1505/image_21095728_lit.jpg">
                            <a:hlinkClick r:id="rId4" tgtFrame="_blank"/>
                          </pic:cNvPr>
                          <pic:cNvPicPr>
                            <a:picLocks noChangeAspect="1" noChangeArrowheads="1"/>
                          </pic:cNvPicPr>
                        </pic:nvPicPr>
                        <pic:blipFill>
                          <a:blip r:embed="rId5" cstate="print"/>
                          <a:srcRect/>
                          <a:stretch>
                            <a:fillRect/>
                          </a:stretch>
                        </pic:blipFill>
                        <pic:spPr bwMode="auto">
                          <a:xfrm>
                            <a:off x="0" y="0"/>
                            <a:ext cx="4756150" cy="2422525"/>
                          </a:xfrm>
                          <a:prstGeom prst="rect">
                            <a:avLst/>
                          </a:prstGeom>
                          <a:noFill/>
                          <a:ln w="9525">
                            <a:noFill/>
                            <a:miter lim="800000"/>
                            <a:headEnd/>
                            <a:tailEnd/>
                          </a:ln>
                        </pic:spPr>
                      </pic:pic>
                    </a:graphicData>
                  </a:graphic>
                </wp:inline>
              </w:drawing>
            </w:r>
            <w:r w:rsidRPr="000C4329">
              <w:rPr>
                <w:rFonts w:ascii="宋体" w:eastAsia="宋体" w:hAnsi="宋体" w:cs="宋体"/>
                <w:color w:val="000000"/>
                <w:kern w:val="0"/>
                <w:sz w:val="13"/>
                <w:szCs w:val="13"/>
              </w:rPr>
              <w:t> </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图1 特种设备总量及比例</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各县（市）区、开发园区在用特种设备数量及种类分布情况如表1、图2。</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表1 各区域在用特种设备分布情况</w:t>
            </w: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1155"/>
              <w:gridCol w:w="1170"/>
              <w:gridCol w:w="1125"/>
              <w:gridCol w:w="1110"/>
              <w:gridCol w:w="1110"/>
              <w:gridCol w:w="1110"/>
              <w:gridCol w:w="810"/>
            </w:tblGrid>
            <w:tr w:rsidR="000C4329" w:rsidRPr="000C4329">
              <w:trPr>
                <w:tblHeade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种类</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区域</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锅炉</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压力</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容器</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电梯</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起重</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机械</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proofErr w:type="gramStart"/>
                  <w:r w:rsidRPr="000C4329">
                    <w:rPr>
                      <w:rFonts w:ascii="宋体" w:eastAsia="宋体" w:hAnsi="宋体" w:cs="宋体"/>
                      <w:color w:val="000000"/>
                      <w:kern w:val="0"/>
                      <w:sz w:val="13"/>
                      <w:szCs w:val="13"/>
                    </w:rPr>
                    <w:t>厂机</w:t>
                  </w:r>
                  <w:proofErr w:type="gramEnd"/>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游乐</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设施</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总量</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余姚</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482</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3198</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6480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6909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865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17943</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慈溪</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719</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2508</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9195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6585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1300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20329</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奉化</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417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1648</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2143</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1984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508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14</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6714</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宁海</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298</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2256</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3088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751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8606</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象山</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204</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2394</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2066</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2277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331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7277</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proofErr w:type="gramStart"/>
                  <w:r w:rsidRPr="000C4329">
                    <w:rPr>
                      <w:rFonts w:ascii="宋体" w:eastAsia="宋体" w:hAnsi="宋体" w:cs="宋体"/>
                      <w:color w:val="000000"/>
                      <w:kern w:val="0"/>
                      <w:sz w:val="13"/>
                      <w:szCs w:val="13"/>
                    </w:rPr>
                    <w:t>鄞</w:t>
                  </w:r>
                  <w:proofErr w:type="gramEnd"/>
                  <w:r w:rsidRPr="000C4329">
                    <w:rPr>
                      <w:rFonts w:ascii="宋体" w:eastAsia="宋体" w:hAnsi="宋体" w:cs="宋体"/>
                      <w:color w:val="000000"/>
                      <w:kern w:val="0"/>
                      <w:sz w:val="13"/>
                      <w:szCs w:val="13"/>
                    </w:rPr>
                    <w:t>州</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501</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3641</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11668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8624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2253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44</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26731</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海</w:t>
                  </w:r>
                  <w:proofErr w:type="gramStart"/>
                  <w:r w:rsidRPr="000C4329">
                    <w:rPr>
                      <w:rFonts w:ascii="宋体" w:eastAsia="宋体" w:hAnsi="宋体" w:cs="宋体"/>
                      <w:color w:val="000000"/>
                      <w:kern w:val="0"/>
                      <w:sz w:val="13"/>
                      <w:szCs w:val="13"/>
                    </w:rPr>
                    <w:t>曙</w:t>
                  </w:r>
                  <w:proofErr w:type="gramEnd"/>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53</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545</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3942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519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69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0</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5128</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江东</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39</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310</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4194</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438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15</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5092</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江北</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988</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3780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2313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793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0</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7971</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镇海</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200</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7937</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3180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4345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1896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7</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17565</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北仑</w:t>
                  </w:r>
                </w:p>
              </w:tc>
              <w:tc>
                <w:tcPr>
                  <w:tcW w:w="1125" w:type="dxa"/>
                  <w:tcBorders>
                    <w:top w:val="outset" w:sz="6" w:space="0" w:color="auto"/>
                    <w:left w:val="outset" w:sz="6" w:space="0" w:color="auto"/>
                    <w:bottom w:val="outset" w:sz="6" w:space="0" w:color="auto"/>
                    <w:right w:val="outset" w:sz="6" w:space="0" w:color="auto"/>
                  </w:tcBorders>
                  <w:noWrap/>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228</w:t>
                  </w:r>
                </w:p>
              </w:tc>
              <w:tc>
                <w:tcPr>
                  <w:tcW w:w="1140" w:type="dxa"/>
                  <w:tcBorders>
                    <w:top w:val="outset" w:sz="6" w:space="0" w:color="auto"/>
                    <w:left w:val="outset" w:sz="6" w:space="0" w:color="auto"/>
                    <w:bottom w:val="outset" w:sz="6" w:space="0" w:color="auto"/>
                    <w:right w:val="outset" w:sz="6" w:space="0" w:color="auto"/>
                  </w:tcBorders>
                  <w:noWrap/>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9936</w:t>
                  </w:r>
                </w:p>
              </w:tc>
              <w:tc>
                <w:tcPr>
                  <w:tcW w:w="1095" w:type="dxa"/>
                  <w:tcBorders>
                    <w:top w:val="outset" w:sz="6" w:space="0" w:color="auto"/>
                    <w:left w:val="outset" w:sz="6" w:space="0" w:color="auto"/>
                    <w:bottom w:val="outset" w:sz="6" w:space="0" w:color="auto"/>
                    <w:right w:val="outset" w:sz="6" w:space="0" w:color="auto"/>
                  </w:tcBorders>
                  <w:noWrap/>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5140</w:t>
                  </w:r>
                </w:p>
              </w:tc>
              <w:tc>
                <w:tcPr>
                  <w:tcW w:w="1080" w:type="dxa"/>
                  <w:tcBorders>
                    <w:top w:val="outset" w:sz="6" w:space="0" w:color="auto"/>
                    <w:left w:val="outset" w:sz="6" w:space="0" w:color="auto"/>
                    <w:bottom w:val="outset" w:sz="6" w:space="0" w:color="auto"/>
                    <w:right w:val="outset" w:sz="6" w:space="0" w:color="auto"/>
                  </w:tcBorders>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8318</w:t>
                  </w:r>
                </w:p>
              </w:tc>
              <w:tc>
                <w:tcPr>
                  <w:tcW w:w="1080" w:type="dxa"/>
                  <w:tcBorders>
                    <w:top w:val="outset" w:sz="6" w:space="0" w:color="auto"/>
                    <w:left w:val="outset" w:sz="6" w:space="0" w:color="auto"/>
                    <w:bottom w:val="outset" w:sz="6" w:space="0" w:color="auto"/>
                    <w:right w:val="outset" w:sz="6" w:space="0" w:color="auto"/>
                  </w:tcBorders>
                  <w:noWrap/>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3132</w:t>
                  </w:r>
                </w:p>
              </w:tc>
              <w:tc>
                <w:tcPr>
                  <w:tcW w:w="1080" w:type="dxa"/>
                  <w:tcBorders>
                    <w:top w:val="outset" w:sz="6" w:space="0" w:color="auto"/>
                    <w:left w:val="outset" w:sz="6" w:space="0" w:color="auto"/>
                    <w:bottom w:val="outset" w:sz="6" w:space="0" w:color="auto"/>
                    <w:right w:val="outset" w:sz="6" w:space="0" w:color="auto"/>
                  </w:tcBorders>
                  <w:noWrap/>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26</w:t>
                  </w:r>
                </w:p>
              </w:tc>
              <w:tc>
                <w:tcPr>
                  <w:tcW w:w="990" w:type="dxa"/>
                  <w:tcBorders>
                    <w:top w:val="outset" w:sz="6" w:space="0" w:color="auto"/>
                    <w:left w:val="outset" w:sz="6" w:space="0" w:color="auto"/>
                    <w:bottom w:val="outset" w:sz="6" w:space="0" w:color="auto"/>
                    <w:right w:val="outset" w:sz="6" w:space="0" w:color="auto"/>
                  </w:tcBorders>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26780</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国家高新区</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361</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1841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486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175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0</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2880</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杭州湾新区</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89</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1488</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1658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1589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984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30</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5838</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（镇海炼化）</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5889</w:t>
                  </w:r>
                </w:p>
              </w:tc>
              <w:tc>
                <w:tcPr>
                  <w:tcW w:w="109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w:t>
                  </w:r>
                </w:p>
              </w:tc>
            </w:tr>
            <w:tr w:rsidR="000C4329" w:rsidRPr="000C4329">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合   计</w:t>
                  </w:r>
                </w:p>
              </w:tc>
              <w:tc>
                <w:tcPr>
                  <w:tcW w:w="112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3344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43099</w:t>
                  </w:r>
                </w:p>
              </w:tc>
              <w:tc>
                <w:tcPr>
                  <w:tcW w:w="109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57491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47475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13153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181</w:t>
                  </w:r>
                </w:p>
              </w:tc>
              <w:tc>
                <w:tcPr>
                  <w:tcW w:w="990"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164743</w:t>
                  </w:r>
                </w:p>
              </w:tc>
            </w:tr>
          </w:tbl>
          <w:p w:rsidR="000C4329" w:rsidRPr="000C4329" w:rsidRDefault="000C4329" w:rsidP="000C4329">
            <w:pPr>
              <w:widowControl/>
              <w:spacing w:line="258" w:lineRule="atLeast"/>
              <w:jc w:val="center"/>
              <w:rPr>
                <w:rFonts w:ascii="宋体" w:eastAsia="宋体" w:hAnsi="宋体" w:cs="宋体"/>
                <w:color w:val="000000"/>
                <w:kern w:val="0"/>
                <w:sz w:val="13"/>
                <w:szCs w:val="13"/>
              </w:rPr>
            </w:pPr>
            <w:r>
              <w:rPr>
                <w:rFonts w:ascii="宋体" w:eastAsia="宋体" w:hAnsi="宋体" w:cs="宋体"/>
                <w:noProof/>
                <w:color w:val="000000"/>
                <w:kern w:val="0"/>
                <w:sz w:val="13"/>
                <w:szCs w:val="13"/>
              </w:rPr>
              <w:lastRenderedPageBreak/>
              <w:drawing>
                <wp:inline distT="0" distB="0" distL="0" distR="0">
                  <wp:extent cx="4756150" cy="2136140"/>
                  <wp:effectExtent l="19050" t="0" r="6350" b="0"/>
                  <wp:docPr id="2" name="图片 2" descr="http://www.nbzj.gov.cn/cms/1120/upimg/allimg/1505/image_21095818_lit.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bzj.gov.cn/cms/1120/upimg/allimg/1505/image_21095818_lit.jpg">
                            <a:hlinkClick r:id="rId6" tgtFrame="_blank"/>
                          </pic:cNvPr>
                          <pic:cNvPicPr>
                            <a:picLocks noChangeAspect="1" noChangeArrowheads="1"/>
                          </pic:cNvPicPr>
                        </pic:nvPicPr>
                        <pic:blipFill>
                          <a:blip r:embed="rId7" cstate="print"/>
                          <a:srcRect/>
                          <a:stretch>
                            <a:fillRect/>
                          </a:stretch>
                        </pic:blipFill>
                        <pic:spPr bwMode="auto">
                          <a:xfrm>
                            <a:off x="0" y="0"/>
                            <a:ext cx="4756150" cy="2136140"/>
                          </a:xfrm>
                          <a:prstGeom prst="rect">
                            <a:avLst/>
                          </a:prstGeom>
                          <a:noFill/>
                          <a:ln w="9525">
                            <a:noFill/>
                            <a:miter lim="800000"/>
                            <a:headEnd/>
                            <a:tailEnd/>
                          </a:ln>
                        </pic:spPr>
                      </pic:pic>
                    </a:graphicData>
                  </a:graphic>
                </wp:inline>
              </w:drawing>
            </w:r>
            <w:r w:rsidRPr="000C4329">
              <w:rPr>
                <w:rFonts w:ascii="宋体" w:eastAsia="宋体" w:hAnsi="宋体" w:cs="宋体"/>
                <w:color w:val="000000"/>
                <w:kern w:val="0"/>
                <w:sz w:val="13"/>
                <w:szCs w:val="13"/>
              </w:rPr>
              <w:t> </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图2 在用特种设备总量区域分布图</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一季度全市共新增特种设备3914台，增量同比增长15%，其中锅炉新增67台、压力容器新增1245台、电梯新增1628台、起重机械新增569台、</w:t>
            </w:r>
            <w:proofErr w:type="gramStart"/>
            <w:r w:rsidRPr="000C4329">
              <w:rPr>
                <w:rFonts w:ascii="宋体" w:eastAsia="宋体" w:hAnsi="宋体" w:cs="宋体"/>
                <w:color w:val="000000"/>
                <w:kern w:val="0"/>
                <w:sz w:val="13"/>
                <w:szCs w:val="13"/>
              </w:rPr>
              <w:t>厂机新增</w:t>
            </w:r>
            <w:proofErr w:type="gramEnd"/>
            <w:r w:rsidRPr="000C4329">
              <w:rPr>
                <w:rFonts w:ascii="宋体" w:eastAsia="宋体" w:hAnsi="宋体" w:cs="宋体"/>
                <w:color w:val="000000"/>
                <w:kern w:val="0"/>
                <w:sz w:val="13"/>
                <w:szCs w:val="13"/>
              </w:rPr>
              <w:t>404台、游乐设施新增1台。</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一季度全市停用锅炉、压力容器、电梯、起重机械、</w:t>
            </w:r>
            <w:proofErr w:type="gramStart"/>
            <w:r w:rsidRPr="000C4329">
              <w:rPr>
                <w:rFonts w:ascii="宋体" w:eastAsia="宋体" w:hAnsi="宋体" w:cs="宋体"/>
                <w:color w:val="000000"/>
                <w:kern w:val="0"/>
                <w:sz w:val="13"/>
                <w:szCs w:val="13"/>
              </w:rPr>
              <w:t>厂机等</w:t>
            </w:r>
            <w:proofErr w:type="gramEnd"/>
            <w:r w:rsidRPr="000C4329">
              <w:rPr>
                <w:rFonts w:ascii="宋体" w:eastAsia="宋体" w:hAnsi="宋体" w:cs="宋体"/>
                <w:color w:val="000000"/>
                <w:kern w:val="0"/>
                <w:sz w:val="13"/>
                <w:szCs w:val="13"/>
              </w:rPr>
              <w:t>五类设备共计495台，注销设备共计229台，重新启用16台，分类统计情况详见表2。</w:t>
            </w:r>
          </w:p>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表2 一季度设备停用、注销、启动情况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0"/>
              <w:gridCol w:w="1305"/>
              <w:gridCol w:w="1590"/>
              <w:gridCol w:w="1170"/>
              <w:gridCol w:w="1770"/>
              <w:gridCol w:w="1215"/>
            </w:tblGrid>
            <w:tr w:rsidR="000C4329" w:rsidRPr="000C4329">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 </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锅炉</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压力容器</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电梯</w:t>
                  </w:r>
                </w:p>
              </w:tc>
              <w:tc>
                <w:tcPr>
                  <w:tcW w:w="17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起重机械</w:t>
                  </w:r>
                </w:p>
              </w:tc>
              <w:tc>
                <w:tcPr>
                  <w:tcW w:w="118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proofErr w:type="gramStart"/>
                  <w:r w:rsidRPr="000C4329">
                    <w:rPr>
                      <w:rFonts w:ascii="宋体" w:eastAsia="宋体" w:hAnsi="宋体" w:cs="宋体"/>
                      <w:color w:val="000000"/>
                      <w:kern w:val="0"/>
                      <w:sz w:val="13"/>
                      <w:szCs w:val="13"/>
                    </w:rPr>
                    <w:t>厂机</w:t>
                  </w:r>
                  <w:proofErr w:type="gramEnd"/>
                </w:p>
              </w:tc>
            </w:tr>
            <w:tr w:rsidR="000C4329" w:rsidRPr="000C4329">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停用设备</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33</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83</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145</w:t>
                  </w:r>
                </w:p>
              </w:tc>
              <w:tc>
                <w:tcPr>
                  <w:tcW w:w="17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212</w:t>
                  </w:r>
                </w:p>
              </w:tc>
              <w:tc>
                <w:tcPr>
                  <w:tcW w:w="118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22</w:t>
                  </w:r>
                </w:p>
              </w:tc>
            </w:tr>
            <w:tr w:rsidR="000C4329" w:rsidRPr="000C4329">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注销设备</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15</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97</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40</w:t>
                  </w:r>
                </w:p>
              </w:tc>
              <w:tc>
                <w:tcPr>
                  <w:tcW w:w="17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29</w:t>
                  </w:r>
                </w:p>
              </w:tc>
              <w:tc>
                <w:tcPr>
                  <w:tcW w:w="118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48</w:t>
                  </w:r>
                </w:p>
              </w:tc>
            </w:tr>
            <w:tr w:rsidR="000C4329" w:rsidRPr="000C4329">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启用设备</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0</w:t>
                  </w:r>
                </w:p>
              </w:tc>
              <w:tc>
                <w:tcPr>
                  <w:tcW w:w="156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5</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w:t>
                  </w:r>
                </w:p>
              </w:tc>
              <w:tc>
                <w:tcPr>
                  <w:tcW w:w="1740"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0</w:t>
                  </w:r>
                </w:p>
              </w:tc>
              <w:tc>
                <w:tcPr>
                  <w:tcW w:w="1185" w:type="dxa"/>
                  <w:tcBorders>
                    <w:top w:val="outset" w:sz="6" w:space="0" w:color="auto"/>
                    <w:left w:val="outset" w:sz="6" w:space="0" w:color="auto"/>
                    <w:bottom w:val="outset" w:sz="6" w:space="0" w:color="auto"/>
                    <w:right w:val="outset" w:sz="6" w:space="0" w:color="auto"/>
                  </w:tcBorders>
                  <w:noWrap/>
                  <w:vAlign w:val="center"/>
                  <w:hideMark/>
                </w:tcPr>
                <w:p w:rsidR="000C4329" w:rsidRPr="000C4329" w:rsidRDefault="000C4329" w:rsidP="000C4329">
                  <w:pPr>
                    <w:widowControl/>
                    <w:spacing w:line="258" w:lineRule="atLeast"/>
                    <w:jc w:val="center"/>
                    <w:rPr>
                      <w:rFonts w:ascii="宋体" w:eastAsia="宋体" w:hAnsi="宋体" w:cs="宋体"/>
                      <w:color w:val="000000"/>
                      <w:kern w:val="0"/>
                      <w:sz w:val="13"/>
                      <w:szCs w:val="13"/>
                    </w:rPr>
                  </w:pPr>
                  <w:r w:rsidRPr="000C4329">
                    <w:rPr>
                      <w:rFonts w:ascii="宋体" w:eastAsia="宋体" w:hAnsi="宋体" w:cs="宋体"/>
                      <w:color w:val="000000"/>
                      <w:kern w:val="0"/>
                      <w:sz w:val="13"/>
                      <w:szCs w:val="13"/>
                    </w:rPr>
                    <w:t>10</w:t>
                  </w:r>
                </w:p>
              </w:tc>
            </w:tr>
          </w:tbl>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二、特种设备安全工作情况</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1.深入开展“打非治违”和隐患排查治理工作。一是督促指导各地推进氨制冷企业特种设备隐患整治，已关闭冷库77家，完成改造72家。二是针对余姚“12.21”锅炉爆炸事故，立即组织开展锅炉等特种设备安全专项督查工作，抽查锅炉使用单位60余家，抽查特种设备225台，提出整改意见160余条，发出安全监察指令书6份，督促使用单位整改完毕。三是组织开展“两会”、春节前特种设备安全监督检查，完成对3家市驻点宾馆、16家游乐场所、天然气加气站、医院、轨道交通、车站等公众聚集场所特种设备安全检查，发现一般隐患28处，均已完成整改。四是着力开展厂（场）内专用机动车辆安全专项整治，研究制定场（厂）内专用机动车辆安全专项整治行动方案，督促使用单位全面自查自纠，并落实整改措施；五是督促指导各地开展旅游景区和休闲娱乐等公众聚集场所大型游乐设施、客运索道等特种设备安全监督抽查。六是启动液化石油气钢瓶充装单位质量安全自查自纠工作机制，依托特种设备行业协会，组织液化石油气钢瓶充装单位的技术专家，对北仑第一煤气公司等3家单位的充装行为和现场管理进行检查。七是制定下发《关于进一步规范气瓶充装、检验工作质量安全的通知》、《关于进一步规范丁烷充装质量安全工作的通知》，进一步规范充装单位充装行为。八是贯彻落实省、市政府关于大气污染防治行动要求，督促各地按照省局要求做好燃煤小锅炉淘汰工作。九是调研摸底使用年限超过20年的油气压力管道基本情况。</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2.强化日常安全监管工作措施。一是组织召开2015年全市特种设备安全工作会议、电梯生产企业安全监察通报会、简易升降机维护保养单位座谈会。二是制定下达年度特种设备使用单位、生产单位日常监督检查计划，确定2015年全市特种设备使用单位监督检查计划2842家、生产单位（气瓶充装单位）监督检查计划62家，总数比去年增加20.8%。三是完成特种设备检验检测机构监督检查，发现10余项问题，督促及时整改。四是完善使用登记下放后续工作，协调落实各地和市特检院对新修订《特种设备目录》以外的设备按规定程序注销登记，并做好下放特种设备使用登记、施工告知后续衔接工作。五是组织召开市特种设备事故报告和调查处理工作联络员会议，对《宁波市特种设备事故报告和调查处理办法（征求意见稿）》进行了讨论和修改。六是切实做好节日期间特种设备应急值班工作，保证通讯畅通，并通知电梯维保、应急救援单位认真做好电梯困人应急处置，保障节日期间特种设备的安全运行。</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3.稳步推进各项重点工作。一是配合市法制办、政策法规处开展《宁波市电梯安全管理办法》立法征求意见及修订完善等有关工作，完成《草案报审稿》和起草说明。二是组织开展全市电梯安全监管大会战，制定电梯安全监管大会战工作方案，成立工作领导小组，组织召开动员大会，全面开展电梯安全隐患和风险大排查。三是组织开展轨道交通2号线、汽车南站特种设备竣工验收，做好服务和验收协调工作。四是组织开展电梯制造单位应用故障监测与自动报警系统调研工作，探索由电梯制造单位开放电梯控制系统接口直接接入电梯物联网、电梯控制系统生产厂基于电梯控制系统的故障监测与自动报警装置的推广模式。五是组织实施宁波市车用天然气综合监管信息系统项目建设，落实有关程序和资金。六是组织开展新《特种设备目录》等法律法规和安全知识宣传教育培训；举办全市气瓶充装、检验、监察150余人参加新修订《气瓶安全技术监察规程》宣贯培训；发</w:t>
            </w:r>
            <w:r w:rsidRPr="000C4329">
              <w:rPr>
                <w:rFonts w:ascii="宋体" w:eastAsia="宋体" w:hAnsi="宋体" w:cs="宋体"/>
                <w:color w:val="000000"/>
                <w:kern w:val="0"/>
                <w:sz w:val="13"/>
                <w:szCs w:val="13"/>
              </w:rPr>
              <w:lastRenderedPageBreak/>
              <w:t>放《特种设备安全检查手册》3000余份；组织</w:t>
            </w:r>
            <w:proofErr w:type="gramStart"/>
            <w:r w:rsidRPr="000C4329">
              <w:rPr>
                <w:rFonts w:ascii="宋体" w:eastAsia="宋体" w:hAnsi="宋体" w:cs="宋体"/>
                <w:color w:val="000000"/>
                <w:kern w:val="0"/>
                <w:sz w:val="13"/>
                <w:szCs w:val="13"/>
              </w:rPr>
              <w:t>全市央企特种</w:t>
            </w:r>
            <w:proofErr w:type="gramEnd"/>
            <w:r w:rsidRPr="000C4329">
              <w:rPr>
                <w:rFonts w:ascii="宋体" w:eastAsia="宋体" w:hAnsi="宋体" w:cs="宋体"/>
                <w:color w:val="000000"/>
                <w:kern w:val="0"/>
                <w:sz w:val="13"/>
                <w:szCs w:val="13"/>
              </w:rPr>
              <w:t>设备使用企业法人、安全管理人员法律法规宣贯与培训；组织对县（市）区特种设备使用登记和告知等有关人员业务实训。</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三、特种设备事故情况</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一季度，全市未发生特种设备事故。</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四、电梯应急救援情况</w:t>
            </w:r>
          </w:p>
          <w:p w:rsidR="000C4329" w:rsidRPr="000C4329" w:rsidRDefault="000C4329" w:rsidP="000C4329">
            <w:pPr>
              <w:widowControl/>
              <w:spacing w:line="258" w:lineRule="atLeast"/>
              <w:jc w:val="left"/>
              <w:rPr>
                <w:rFonts w:ascii="宋体" w:eastAsia="宋体" w:hAnsi="宋体" w:cs="宋体"/>
                <w:color w:val="000000"/>
                <w:kern w:val="0"/>
                <w:sz w:val="13"/>
                <w:szCs w:val="13"/>
              </w:rPr>
            </w:pPr>
            <w:r w:rsidRPr="000C4329">
              <w:rPr>
                <w:rFonts w:ascii="宋体" w:eastAsia="宋体" w:hAnsi="宋体" w:cs="宋体"/>
                <w:color w:val="000000"/>
                <w:kern w:val="0"/>
                <w:sz w:val="13"/>
                <w:szCs w:val="13"/>
              </w:rPr>
              <w:t>一季度，共接电梯求援电话处警91起，涉及被困人员约193人，电梯应急救援共处警91次，成功解救54起，解救140人，其中指派公共应急救援网络单位成功解救7次，解救人员7人，指派签约维保单位救援47起，解救人员133人，其</w:t>
            </w:r>
            <w:proofErr w:type="gramStart"/>
            <w:r w:rsidRPr="000C4329">
              <w:rPr>
                <w:rFonts w:ascii="宋体" w:eastAsia="宋体" w:hAnsi="宋体" w:cs="宋体"/>
                <w:color w:val="000000"/>
                <w:kern w:val="0"/>
                <w:sz w:val="13"/>
                <w:szCs w:val="13"/>
              </w:rPr>
              <w:t>他处警</w:t>
            </w:r>
            <w:proofErr w:type="gramEnd"/>
            <w:r w:rsidRPr="000C4329">
              <w:rPr>
                <w:rFonts w:ascii="宋体" w:eastAsia="宋体" w:hAnsi="宋体" w:cs="宋体"/>
                <w:color w:val="000000"/>
                <w:kern w:val="0"/>
                <w:sz w:val="13"/>
                <w:szCs w:val="13"/>
              </w:rPr>
              <w:t>后救援单位到达现场被困人员已自行出来、或被维保、消防、物业救出等。</w:t>
            </w:r>
          </w:p>
        </w:tc>
      </w:tr>
    </w:tbl>
    <w:p w:rsidR="000C4329" w:rsidRPr="000C4329" w:rsidRDefault="000C4329">
      <w:pPr>
        <w:rPr>
          <w:rFonts w:hint="eastAsia"/>
          <w:color w:val="000000"/>
          <w:sz w:val="13"/>
          <w:szCs w:val="13"/>
        </w:rPr>
      </w:pPr>
    </w:p>
    <w:p w:rsidR="000C4329" w:rsidRPr="000C4329" w:rsidRDefault="000C4329"/>
    <w:sectPr w:rsidR="000C4329" w:rsidRPr="000C4329" w:rsidSect="000B00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4329"/>
    <w:rsid w:val="000B00E7"/>
    <w:rsid w:val="000C4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4329"/>
    <w:rPr>
      <w:sz w:val="18"/>
      <w:szCs w:val="18"/>
    </w:rPr>
  </w:style>
  <w:style w:type="character" w:customStyle="1" w:styleId="Char">
    <w:name w:val="批注框文本 Char"/>
    <w:basedOn w:val="a0"/>
    <w:link w:val="a3"/>
    <w:uiPriority w:val="99"/>
    <w:semiHidden/>
    <w:rsid w:val="000C4329"/>
    <w:rPr>
      <w:sz w:val="18"/>
      <w:szCs w:val="18"/>
    </w:rPr>
  </w:style>
</w:styles>
</file>

<file path=word/webSettings.xml><?xml version="1.0" encoding="utf-8"?>
<w:webSettings xmlns:r="http://schemas.openxmlformats.org/officeDocument/2006/relationships" xmlns:w="http://schemas.openxmlformats.org/wordprocessingml/2006/main">
  <w:divs>
    <w:div w:id="72627654">
      <w:bodyDiv w:val="1"/>
      <w:marLeft w:val="0"/>
      <w:marRight w:val="0"/>
      <w:marTop w:val="0"/>
      <w:marBottom w:val="0"/>
      <w:divBdr>
        <w:top w:val="none" w:sz="0" w:space="0" w:color="auto"/>
        <w:left w:val="none" w:sz="0" w:space="0" w:color="auto"/>
        <w:bottom w:val="none" w:sz="0" w:space="0" w:color="auto"/>
        <w:right w:val="none" w:sz="0" w:space="0" w:color="auto"/>
      </w:divBdr>
      <w:divsChild>
        <w:div w:id="1166021132">
          <w:marLeft w:val="0"/>
          <w:marRight w:val="0"/>
          <w:marTop w:val="0"/>
          <w:marBottom w:val="0"/>
          <w:divBdr>
            <w:top w:val="none" w:sz="0" w:space="0" w:color="auto"/>
            <w:left w:val="none" w:sz="0" w:space="0" w:color="auto"/>
            <w:bottom w:val="none" w:sz="0" w:space="0" w:color="auto"/>
            <w:right w:val="none" w:sz="0" w:space="0" w:color="auto"/>
          </w:divBdr>
        </w:div>
        <w:div w:id="1797523960">
          <w:marLeft w:val="0"/>
          <w:marRight w:val="0"/>
          <w:marTop w:val="0"/>
          <w:marBottom w:val="0"/>
          <w:divBdr>
            <w:top w:val="none" w:sz="0" w:space="0" w:color="auto"/>
            <w:left w:val="none" w:sz="0" w:space="0" w:color="auto"/>
            <w:bottom w:val="none" w:sz="0" w:space="0" w:color="auto"/>
            <w:right w:val="none" w:sz="0" w:space="0" w:color="auto"/>
          </w:divBdr>
        </w:div>
        <w:div w:id="3050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zj.gov.cn/cms/1120/upimg/allimg/1505/image_21095818.jpg" TargetMode="External"/><Relationship Id="rId5" Type="http://schemas.openxmlformats.org/officeDocument/2006/relationships/image" Target="media/image1.jpeg"/><Relationship Id="rId4" Type="http://schemas.openxmlformats.org/officeDocument/2006/relationships/hyperlink" Target="http://www.nbzj.gov.cn/cms/1120/upimg/allimg/1505/image_21095728.jp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2015-06-25T03:40:00Z</dcterms:created>
  <dcterms:modified xsi:type="dcterms:W3CDTF">2015-06-25T03:41:00Z</dcterms:modified>
</cp:coreProperties>
</file>